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工程代理机构评分标准</w:t>
      </w:r>
    </w:p>
    <w:tbl>
      <w:tblPr>
        <w:tblStyle w:val="7"/>
        <w:tblW w:w="14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407"/>
        <w:gridCol w:w="1174"/>
        <w:gridCol w:w="8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评审因素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代理服务费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以满足遴选文件要求的最低的代理服务费下浮比例为评分基准，其价格分为满分。其他投标人的价格分=(下浮比例／评分基准)×10。</w:t>
            </w:r>
          </w:p>
          <w:p>
            <w:pPr>
              <w:adjustRightInd w:val="0"/>
              <w:jc w:val="left"/>
              <w:textAlignment w:val="baseline"/>
              <w:rPr>
                <w:rFonts w:ascii="黑体" w:hAnsi="黑体" w:eastAsia="黑体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例：如最低下浮比例为40%，那么下浮比例20%的代理机构得分为（20%/40%）×10=5分。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综合情况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综合考虑公司经营状况、人员情况、办公场所等情况进行综合比较，横向打分。</w:t>
            </w:r>
          </w:p>
          <w:p>
            <w:pPr>
              <w:tabs>
                <w:tab w:val="left" w:pos="5986"/>
              </w:tabs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ab/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较好，可得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一般，可得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资质信誉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综合考虑公司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资质等级、ISO认证、获奖荣誉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等情况进行综合比较，横向打分。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较好，可得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一般，可得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企业业绩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eastAsia="zh-CN"/>
              </w:rPr>
              <w:t>在京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高校业绩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：近3年（2022年1月1日-开标日）代理所属单位（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非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在京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高校除外）项目业绩，每个业绩得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非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eastAsia="zh-CN"/>
              </w:rPr>
              <w:t>在京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高校业绩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年1月1日-开标日）代理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非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在京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高校项目业绩，每个业绩得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科研院企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：近3年（2022年1月1日-开标日）代理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科研院企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政府采购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业绩：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近3年（2022年1月1日-开标日）代理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北京市政府采购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5.工程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业绩：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近3年（2022年1月1日-开标日）代理一个招标预算金额大于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2000万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元的业绩项目业绩，每个业绩得1分，总分最多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highlight w:val="none"/>
              </w:rPr>
              <w:t>*业绩证明资料为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</w:rPr>
              <w:t>代理机构与委托单位签订的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  <w:u w:val="single"/>
              </w:rPr>
              <w:t>委托代理协议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</w:rPr>
              <w:t>，同一个委托单位不同年份签订的委托代理协议可以重复计算业绩。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  <w:lang w:val="en-US" w:eastAsia="zh-CN"/>
              </w:rPr>
              <w:t>1和2的业绩总分为4分。以上业绩均不重复计算。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项目经理业绩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高校业绩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年1月1日--开标日）代理所属单位项目业绩，每个业绩得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科研院企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年1月1日--开标日）代理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科研院企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政府采购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年1月1日--开标日）代理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北京市政府采购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4.工程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年1月1日--开标日）代理一个招标预算金额大于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2000万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元的业绩项目业绩，每个业绩得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业绩证明资料形式不限，但需要能够证明项目经理曾参加该项目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（项目经理姓名显著标注，便于评委查找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）。可以为中国政府采购网、市级以上政府网站招标项目信息公示截图、或者市及以上电子招标系统或采购系统截图，或委托代理协议等。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*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  <w:lang w:val="en-US" w:eastAsia="zh-CN"/>
              </w:rPr>
              <w:t>同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一个委托单位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同年度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  <w:lang w:val="en-US" w:eastAsia="zh-CN"/>
              </w:rPr>
              <w:t>的业绩证明可以重复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计算业绩。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项目经理资历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高级职称或8年以上工作经验，得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中级职称或5-7年以上工作经验，得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有5年以下工作经验，得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项目组其他主要成员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1.有3年以上工作经验，得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2.有3年以下工作经验，得3分。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培训经验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招标代理机构培训经验要求：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为招标人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组织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一次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采购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的得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分，最高得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分，需提供现场照片或新闻发布稿等证明资料，否则不得分。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是否有签约律师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有签约律师得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无签约律师得0分；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档案管理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有档案管理系统，得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分；无档案管理系统得0分；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档案管理有序、空间充足，得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分；档案管理混乱，空间紧张得0分。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服务方案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textAlignment w:val="baseline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服务方案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符合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需求，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对项目的前期沟通、项目进行、项目后期备案等服务实施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方案内容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描述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完整，得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分；基本符合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需求，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服务实施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方案内容基本完整，得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分；不符合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需求，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服务实施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方案内容存在明显缺失，得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  <w:p>
            <w:pPr>
              <w:numPr>
                <w:ilvl w:val="0"/>
                <w:numId w:val="3"/>
              </w:numPr>
              <w:adjustRightInd w:val="0"/>
              <w:ind w:left="0" w:leftChars="0" w:firstLine="0" w:firstLineChars="0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组织实施计划：招标工作的人员安排、设备保障等整体组织及实施合理，有具体完善的计划。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分，良好得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分，一般得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  <w:p>
            <w:pPr>
              <w:numPr>
                <w:ilvl w:val="0"/>
                <w:numId w:val="0"/>
              </w:numPr>
              <w:adjustRightInd w:val="0"/>
              <w:ind w:leftChars="0"/>
              <w:textAlignment w:val="baseline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保密措施：对保密制度和措施情况进行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综合比较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。优得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分，良好得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分，一般得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textAlignment w:val="baseline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服务承诺具体、针对性强、切实可行，能够有效提高招标质量及效率；需编制具体方案应对招标过程中存在的风险，并有具体措施优得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5-6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分，良好得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分，一般得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现场陈述和答辩情况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1.现场陈述内容完整，重点突出，回答问题思路清晰，对国家和北京市相关政策规定熟悉，得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adjustRightInd w:val="0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2.现场陈述内容完整，回答问题思路清晰，对国家和北京市相关政策规定比较熟悉，得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adjustRightInd w:val="0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3.现场陈述内容不完整，回答问题思路不清晰，对国家和北京市相关政策规定不熟悉，得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</w:tbl>
    <w:p>
      <w:r>
        <w:rPr>
          <w:rFonts w:hint="eastAsia"/>
        </w:rPr>
        <w:br w:type="page"/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货物和服务代理机构评分标准</w:t>
      </w:r>
    </w:p>
    <w:tbl>
      <w:tblPr>
        <w:tblStyle w:val="7"/>
        <w:tblW w:w="14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407"/>
        <w:gridCol w:w="1174"/>
        <w:gridCol w:w="8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评审因素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代理服务费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以满足遴选文件要求的最低的代理服务费下浮比例为评分基准，其价格分为满分。其他投标人的价格分=(下浮比例／评分基准)×10。</w:t>
            </w:r>
          </w:p>
          <w:p>
            <w:pPr>
              <w:adjustRightInd w:val="0"/>
              <w:jc w:val="left"/>
              <w:textAlignment w:val="baseline"/>
              <w:rPr>
                <w:rFonts w:ascii="黑体" w:hAnsi="黑体" w:eastAsia="黑体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例：如最低下浮比例为40%，那么下浮比例20%的代理机构得分为（20%/40%）×10=5分。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综合情况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综合考虑公司经营状况、人员情况、办公场所等情况进行综合比较，横向打分。</w:t>
            </w:r>
          </w:p>
          <w:p>
            <w:pPr>
              <w:tabs>
                <w:tab w:val="left" w:pos="5986"/>
              </w:tabs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ab/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较好，可得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一般，可得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资质信誉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综合考虑公司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资质等级、ISO认证、获奖荣誉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等情况进行综合比较，横向打分。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较好，可得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一般，可得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企业业绩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eastAsia="zh-CN"/>
              </w:rPr>
              <w:t>在京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高校业绩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：近3年（2022年1月1日-开标日）代理所属单位（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非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在京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高校除外）项目业绩，每个业绩得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非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eastAsia="zh-CN"/>
              </w:rPr>
              <w:t>在京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高校业绩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年1月1日-开标日）代理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非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在京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高校项目业绩，每个业绩得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科研院企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：近3年（2022年1月1日-开标日）代理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科研院企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政府采购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业绩：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近3年（2022年1月1日-开标日）代理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北京市政府采购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货物服务业绩：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近3年（2022年1月1日-开标日）代理一个招标预算金额大于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5000万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元的业绩项目业绩，每个业绩得1分，总分最多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highlight w:val="none"/>
              </w:rPr>
              <w:t>*业绩证明资料为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</w:rPr>
              <w:t>代理机构与委托单位签订的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  <w:u w:val="single"/>
              </w:rPr>
              <w:t>委托代理协议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</w:rPr>
              <w:t>，同一个委托单位不同年份签订的委托代理协议可以重复计算业绩。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  <w:lang w:val="en-US" w:eastAsia="zh-CN"/>
              </w:rPr>
              <w:t>1和2的业绩总分为4分。以上业绩均不重复计算。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项目经理业绩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高校业绩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年1月1日--开标日）代理所属单位项目业绩，每个业绩得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科研院企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年1月1日--开标日）代理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科研院企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政府采购</w:t>
            </w:r>
            <w:r>
              <w:rPr>
                <w:rFonts w:hint="eastAsia" w:ascii="仿宋" w:hAnsi="仿宋" w:eastAsia="仿宋"/>
                <w:b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年1月1日--开标日）代理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北京市政府采购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货物服务业绩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：近3年（202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年1月1日--开标日）代理一个招标预算金额大于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5000万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元的业绩项目业绩，每个业绩得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业绩证明资料形式不限，但需要能够证明项目经理曾参加该项目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（项目经理姓名显著标注，便于评委查找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）。可以为中国政府采购网、市级以上政府网站招标项目信息公示截图、或者市及以上电子招标系统或采购系统截图，或委托代理协议等。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*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  <w:lang w:val="en-US" w:eastAsia="zh-CN"/>
              </w:rPr>
              <w:t>同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一个委托单位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同年度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  <w:lang w:val="en-US" w:eastAsia="zh-CN"/>
              </w:rPr>
              <w:t>的业绩证明可以重复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计算业绩。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项目经理资历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numPr>
                <w:numId w:val="0"/>
              </w:num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高级职称或8年以上工作经验，得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numPr>
                <w:numId w:val="0"/>
              </w:num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中级职称或5-7年以上工作经验，得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numPr>
                <w:numId w:val="0"/>
              </w:num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有5年以下工作经验，得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项目组其他主要成员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1.有3年以上工作经验，得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2.有3年以下工作经验，得3分。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培训经验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招标代理机构培训经验要求：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为招标人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组织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一次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采购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的得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分，最高得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分，需提供现场照片或新闻发布稿等证明资料，否则不得分。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是否有签约律师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有签约律师得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无签约律师得0分；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档案管理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有档案管理系统，得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分；无档案管理系统得0分；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档案管理有序、空间充足，得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分；档案管理混乱，空间紧张得0分。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服务方案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numPr>
                <w:numId w:val="0"/>
              </w:numPr>
              <w:adjustRightInd w:val="0"/>
              <w:textAlignment w:val="baseline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服务方案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符合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需求，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对项目的前期沟通、项目进行、项目后期备案等服务实施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方案内容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描述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完整，得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分；基本符合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需求，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服务实施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方案内容基本完整，得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分；不符合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需求，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服务实施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方案内容存在明显缺失，得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  <w:p>
            <w:pPr>
              <w:numPr>
                <w:numId w:val="0"/>
              </w:numPr>
              <w:adjustRightInd w:val="0"/>
              <w:ind w:leftChars="0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2.组织实施计划：招标工作的人员安排、设备保障等整体组织及实施合理，有具体完善的计划。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分，良好得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分，一般得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  <w:p>
            <w:pPr>
              <w:numPr>
                <w:ilvl w:val="0"/>
                <w:numId w:val="0"/>
              </w:numPr>
              <w:adjustRightInd w:val="0"/>
              <w:ind w:leftChars="0"/>
              <w:textAlignment w:val="baseline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保密措施：对保密制度和措施情况进行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综合比较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。优得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分，良好得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分，一般得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textAlignment w:val="baseline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服务承诺具体、针对性强、切实可行，能够有效提高招标质量及效率；需编制具体方案应对招标过程中存在的风险，并有具体措施优得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5-6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分，良好得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分，一般得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现场陈述和答辩情况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1.现场陈述内容完整，重点突出，回答问题思路清晰，对国家和北京市相关政策规定熟悉，得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adjustRightInd w:val="0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2.现场陈述内容完整，回答问题思路清晰，对国家和北京市相关政策规定比较熟悉，得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adjustRightInd w:val="0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3.现场陈述内容不完整，回答问题思路不清晰，对国家和北京市相关政策规定不熟悉，得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</w:tbl>
    <w:p>
      <w:pPr>
        <w:jc w:val="both"/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外贸代理机构评分标准</w:t>
      </w:r>
    </w:p>
    <w:tbl>
      <w:tblPr>
        <w:tblStyle w:val="7"/>
        <w:tblW w:w="14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407"/>
        <w:gridCol w:w="1174"/>
        <w:gridCol w:w="8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评审因素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代理服务费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黑体" w:hAnsi="黑体" w:eastAsia="黑体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default" w:ascii="黑体" w:hAnsi="黑体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投标人按照中标标的额进行取费，并自行报价，需报出最低收费价格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。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根据报价进行横向对比打分。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综合情况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综合考虑公司经营状况、人员情况、办公场所等情况进行综合比较，横向打分。</w:t>
            </w:r>
          </w:p>
          <w:p>
            <w:pPr>
              <w:tabs>
                <w:tab w:val="left" w:pos="5986"/>
              </w:tabs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ab/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较好，可得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一般，可得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资质信誉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综合考虑公司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资质等级、ISO认证、获奖荣誉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等情况进行综合比较，横向打分。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较好，可得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一般，可得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企业业绩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近3年（2022年1月1日-开标日）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进行外贸代理服务项目情况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，每个业绩得1分，总分最多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highlight w:val="none"/>
              </w:rPr>
              <w:t>*业绩证明资料为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</w:rPr>
              <w:t>代理机构与委托单位签订的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  <w:u w:val="single"/>
              </w:rPr>
              <w:t>委托协议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>或合同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</w:rPr>
              <w:t>，同一个委托单位不同年份签订的委托代理协议可以重复计算业绩。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项目经理业绩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近3年（2022年1月1日-开标日）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进行外贸代理服务项目情况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，每个业绩得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分，总分最多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。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highlight w:val="none"/>
              </w:rPr>
              <w:t>*业绩证明资料为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</w:rPr>
              <w:t>代理机构与委托单位签订的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  <w:u w:val="single"/>
              </w:rPr>
              <w:t>委托协议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>或合同</w:t>
            </w:r>
            <w:r>
              <w:rPr>
                <w:rFonts w:hint="eastAsia" w:ascii="仿宋" w:hAnsi="仿宋" w:eastAsia="仿宋" w:cs="楷体_GB2312"/>
                <w:b/>
                <w:bCs/>
                <w:color w:val="auto"/>
                <w:sz w:val="24"/>
                <w:highlight w:val="none"/>
              </w:rPr>
              <w:t>，同一个委托单位不同年份签订的委托代理协议可以重复计算业绩。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*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  <w:lang w:val="en-US" w:eastAsia="zh-CN"/>
              </w:rPr>
              <w:t>同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一个委托单位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同年度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  <w:lang w:val="en-US" w:eastAsia="zh-CN"/>
              </w:rPr>
              <w:t>的业绩证明可以重复</w:t>
            </w:r>
            <w:r>
              <w:rPr>
                <w:rFonts w:hint="eastAsia" w:ascii="仿宋" w:hAnsi="仿宋" w:eastAsia="仿宋" w:cs="楷体_GB2312"/>
                <w:b/>
                <w:color w:val="auto"/>
                <w:sz w:val="24"/>
                <w:highlight w:val="none"/>
              </w:rPr>
              <w:t>计算业绩。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需要能够证明项目经理曾参加该项目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highlight w:val="none"/>
              </w:rPr>
              <w:t>（项目经理姓名显著标注，便于评委查找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项目经理资历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numPr>
                <w:numId w:val="0"/>
              </w:num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高级职称或8年以上工作经验，得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numPr>
                <w:numId w:val="0"/>
              </w:num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中级职称或5-7年以上工作经验，得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numPr>
                <w:numId w:val="0"/>
              </w:num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有5年以下工作经验，得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项目组其他主要成员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1.有3年以上工作经验，得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2.有3年以下工作经验，得3分。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培训经验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培训经验要求：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为招标人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组织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过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一次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的得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分，最高得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分，需提供现场照片或新闻发布稿等证明资料，否则不得分。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是否有签约律师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有签约律师得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无签约律师得0分；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档案管理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有档案管理系统，得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分；无档案管理系统得0分；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档案管理有序、空间充足，得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分；档案管理混乱，空间紧张得0分。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服务方案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numPr>
                <w:numId w:val="0"/>
              </w:numPr>
              <w:adjustRightInd w:val="0"/>
              <w:textAlignment w:val="baseline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服务方案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符合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需求，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对项目的前期沟通、项目进行、项目后期备案等服务实施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方案内容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描述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完整，得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分；基本符合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需求，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服务实施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方案内容基本完整，得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分；不符合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需求，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服务实施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方案内容存在明显缺失，得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  <w:p>
            <w:pPr>
              <w:numPr>
                <w:numId w:val="0"/>
              </w:numPr>
              <w:adjustRightInd w:val="0"/>
              <w:ind w:leftChars="0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2.组织实施计划：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人员安排、设备保障等整体组织及实施合理，有具体完善的计划。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分，良好得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分，一般得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  <w:p>
            <w:pPr>
              <w:numPr>
                <w:ilvl w:val="0"/>
                <w:numId w:val="0"/>
              </w:numPr>
              <w:adjustRightInd w:val="0"/>
              <w:ind w:leftChars="0"/>
              <w:textAlignment w:val="baseline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保密措施：对保密制度和措施情况进行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综合比较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。优得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分，良好得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分，一般得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textAlignment w:val="baseline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服务承诺具体、针对性强、切实可行，能够有效提高招标质量及效率；需编制具体方案应对招标过程中存在的风险，并有具体措施优得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5-6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分，良好得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3-4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分，一般得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1-2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adjustRightInd w:val="0"/>
              <w:ind w:leftChars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3407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现场陈述和答辩情况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default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8651" w:type="dxa"/>
            <w:shd w:val="clear" w:color="auto" w:fill="auto"/>
            <w:vAlign w:val="center"/>
          </w:tcPr>
          <w:p>
            <w:pPr>
              <w:adjustRightInd w:val="0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1.现场陈述内容完整，重点突出，回答问题思路清晰，对国家和北京市相关政策规定熟悉，得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adjustRightInd w:val="0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2.现场陈述内容完整，回答问题思路清晰，对国家和北京市相关政策规定比较熟悉，得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分；</w:t>
            </w:r>
          </w:p>
          <w:p>
            <w:pPr>
              <w:adjustRightInd w:val="0"/>
              <w:textAlignment w:val="baseline"/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3.现场陈述内容不完整，回答问题思路不清晰，对国家和北京市相关政策规定不熟悉，得</w:t>
            </w:r>
            <w:r>
              <w:rPr>
                <w:rFonts w:ascii="仿宋" w:hAnsi="仿宋" w:eastAsia="仿宋"/>
                <w:bCs/>
                <w:color w:val="auto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highlight w:val="none"/>
              </w:rPr>
              <w:t>分。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80FC9"/>
    <w:multiLevelType w:val="singleLevel"/>
    <w:tmpl w:val="86980F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325939"/>
    <w:multiLevelType w:val="singleLevel"/>
    <w:tmpl w:val="873259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881F4C"/>
    <w:multiLevelType w:val="singleLevel"/>
    <w:tmpl w:val="1D881F4C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hanging="454"/>
      </w:pPr>
      <w:rPr>
        <w:rFonts w:hint="default" w:ascii="宋体" w:hAnsi="宋体" w:eastAsia="宋体" w:cs="宋体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mUyZTY4ZTZiY2Y0NGNkNGZjYjM5MTliOTA1YjYifQ=="/>
    <w:docVar w:name="KSO_WPS_MARK_KEY" w:val="34199069-dfc2-4e08-8391-5e4bfcac4e8f"/>
  </w:docVars>
  <w:rsids>
    <w:rsidRoot w:val="632E5F59"/>
    <w:rsid w:val="0000543F"/>
    <w:rsid w:val="0002228E"/>
    <w:rsid w:val="00045309"/>
    <w:rsid w:val="000514A5"/>
    <w:rsid w:val="000A553B"/>
    <w:rsid w:val="000E0093"/>
    <w:rsid w:val="000F7B43"/>
    <w:rsid w:val="00147528"/>
    <w:rsid w:val="0016479C"/>
    <w:rsid w:val="00187B94"/>
    <w:rsid w:val="001D56F0"/>
    <w:rsid w:val="00230D48"/>
    <w:rsid w:val="00255571"/>
    <w:rsid w:val="002923A7"/>
    <w:rsid w:val="00293427"/>
    <w:rsid w:val="0029451A"/>
    <w:rsid w:val="002B726D"/>
    <w:rsid w:val="002C289E"/>
    <w:rsid w:val="002D4412"/>
    <w:rsid w:val="00310C7D"/>
    <w:rsid w:val="003215A0"/>
    <w:rsid w:val="00361753"/>
    <w:rsid w:val="003C4E7E"/>
    <w:rsid w:val="003C7729"/>
    <w:rsid w:val="003E0496"/>
    <w:rsid w:val="003E6F84"/>
    <w:rsid w:val="003F2CAD"/>
    <w:rsid w:val="00472635"/>
    <w:rsid w:val="005216A2"/>
    <w:rsid w:val="005264A6"/>
    <w:rsid w:val="00561FF3"/>
    <w:rsid w:val="005858F0"/>
    <w:rsid w:val="005949AE"/>
    <w:rsid w:val="00595C49"/>
    <w:rsid w:val="005A20F0"/>
    <w:rsid w:val="005C45C9"/>
    <w:rsid w:val="005C48D4"/>
    <w:rsid w:val="00606152"/>
    <w:rsid w:val="006528A1"/>
    <w:rsid w:val="006637AD"/>
    <w:rsid w:val="00663D0F"/>
    <w:rsid w:val="00696D20"/>
    <w:rsid w:val="006A3272"/>
    <w:rsid w:val="00720503"/>
    <w:rsid w:val="00805B41"/>
    <w:rsid w:val="00855978"/>
    <w:rsid w:val="0089717E"/>
    <w:rsid w:val="008C128E"/>
    <w:rsid w:val="00920D67"/>
    <w:rsid w:val="009935D5"/>
    <w:rsid w:val="00A04885"/>
    <w:rsid w:val="00A60964"/>
    <w:rsid w:val="00A94D2C"/>
    <w:rsid w:val="00AB0E40"/>
    <w:rsid w:val="00AB32E9"/>
    <w:rsid w:val="00AD51B0"/>
    <w:rsid w:val="00B00411"/>
    <w:rsid w:val="00B11B04"/>
    <w:rsid w:val="00B917FC"/>
    <w:rsid w:val="00BB2AF4"/>
    <w:rsid w:val="00BD6E8E"/>
    <w:rsid w:val="00BE1F63"/>
    <w:rsid w:val="00C061E7"/>
    <w:rsid w:val="00C53EF3"/>
    <w:rsid w:val="00C625A8"/>
    <w:rsid w:val="00C63D5C"/>
    <w:rsid w:val="00CC5BAB"/>
    <w:rsid w:val="00CF6859"/>
    <w:rsid w:val="00D02C7C"/>
    <w:rsid w:val="00D26A77"/>
    <w:rsid w:val="00D313C6"/>
    <w:rsid w:val="00D33E54"/>
    <w:rsid w:val="00D92D8E"/>
    <w:rsid w:val="00DC0C81"/>
    <w:rsid w:val="00DC10EA"/>
    <w:rsid w:val="00DD25C9"/>
    <w:rsid w:val="00DE0627"/>
    <w:rsid w:val="00E654A2"/>
    <w:rsid w:val="00E863B8"/>
    <w:rsid w:val="00EA2786"/>
    <w:rsid w:val="00EE11E3"/>
    <w:rsid w:val="00F43F33"/>
    <w:rsid w:val="00F82FCD"/>
    <w:rsid w:val="00F97627"/>
    <w:rsid w:val="00FC1514"/>
    <w:rsid w:val="00FC3DA0"/>
    <w:rsid w:val="00FF4FA8"/>
    <w:rsid w:val="020016E9"/>
    <w:rsid w:val="03045F72"/>
    <w:rsid w:val="03BC7892"/>
    <w:rsid w:val="03CF2D51"/>
    <w:rsid w:val="046C3D52"/>
    <w:rsid w:val="06FD08ED"/>
    <w:rsid w:val="07997C70"/>
    <w:rsid w:val="07E05752"/>
    <w:rsid w:val="08BC62FE"/>
    <w:rsid w:val="09A35C35"/>
    <w:rsid w:val="0C1C1816"/>
    <w:rsid w:val="0DBB2930"/>
    <w:rsid w:val="0F580DB7"/>
    <w:rsid w:val="104650B3"/>
    <w:rsid w:val="11A716BB"/>
    <w:rsid w:val="11C27B14"/>
    <w:rsid w:val="15586AF2"/>
    <w:rsid w:val="1674297A"/>
    <w:rsid w:val="16E1419F"/>
    <w:rsid w:val="17071E8F"/>
    <w:rsid w:val="178E332B"/>
    <w:rsid w:val="18FC0CEB"/>
    <w:rsid w:val="1DDB544B"/>
    <w:rsid w:val="2057446D"/>
    <w:rsid w:val="206B601C"/>
    <w:rsid w:val="208D28C0"/>
    <w:rsid w:val="22A63082"/>
    <w:rsid w:val="22B57253"/>
    <w:rsid w:val="230967AC"/>
    <w:rsid w:val="29332BAE"/>
    <w:rsid w:val="2A9C465C"/>
    <w:rsid w:val="2CE037EC"/>
    <w:rsid w:val="2D104E05"/>
    <w:rsid w:val="30317CE4"/>
    <w:rsid w:val="31010BF8"/>
    <w:rsid w:val="33AD497E"/>
    <w:rsid w:val="341232B4"/>
    <w:rsid w:val="34564896"/>
    <w:rsid w:val="34CC3529"/>
    <w:rsid w:val="35555762"/>
    <w:rsid w:val="3ADC20CE"/>
    <w:rsid w:val="3B1363C6"/>
    <w:rsid w:val="3C543F65"/>
    <w:rsid w:val="3D2B2655"/>
    <w:rsid w:val="3EBF7C5B"/>
    <w:rsid w:val="40730CFD"/>
    <w:rsid w:val="42BC3237"/>
    <w:rsid w:val="43D40651"/>
    <w:rsid w:val="4546083C"/>
    <w:rsid w:val="46EE3AEB"/>
    <w:rsid w:val="4C33233E"/>
    <w:rsid w:val="4D7D140D"/>
    <w:rsid w:val="4E9F268E"/>
    <w:rsid w:val="4F257148"/>
    <w:rsid w:val="53447A23"/>
    <w:rsid w:val="54D04C42"/>
    <w:rsid w:val="55301AD2"/>
    <w:rsid w:val="55AE6607"/>
    <w:rsid w:val="564869F0"/>
    <w:rsid w:val="56901375"/>
    <w:rsid w:val="589D3C92"/>
    <w:rsid w:val="58C074FD"/>
    <w:rsid w:val="593C7C71"/>
    <w:rsid w:val="5D4209AA"/>
    <w:rsid w:val="5EC32908"/>
    <w:rsid w:val="60E750C3"/>
    <w:rsid w:val="62F45FCB"/>
    <w:rsid w:val="630E086F"/>
    <w:rsid w:val="632E5F59"/>
    <w:rsid w:val="642D6B39"/>
    <w:rsid w:val="662B15AE"/>
    <w:rsid w:val="66495ED8"/>
    <w:rsid w:val="6944615C"/>
    <w:rsid w:val="69C515DF"/>
    <w:rsid w:val="6BB81C2F"/>
    <w:rsid w:val="6CEC16E3"/>
    <w:rsid w:val="6D7773B7"/>
    <w:rsid w:val="6E18609B"/>
    <w:rsid w:val="6F0741F3"/>
    <w:rsid w:val="763A63B7"/>
    <w:rsid w:val="77132317"/>
    <w:rsid w:val="7BBB53EE"/>
    <w:rsid w:val="7CCC1019"/>
    <w:rsid w:val="7E3C348E"/>
    <w:rsid w:val="7F08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8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4392</Words>
  <Characters>4668</Characters>
  <Lines>2</Lines>
  <Paragraphs>6</Paragraphs>
  <TotalTime>5</TotalTime>
  <ScaleCrop>false</ScaleCrop>
  <LinksUpToDate>false</LinksUpToDate>
  <CharactersWithSpaces>4673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2021-01-17T13:58:00Z</dcterms:created>
  <dc:creator>李卫宏</dc:creator>
  <cp:lastModifiedBy>hp</cp:lastModifiedBy>
  <cp:lastPrinted>2021-12-29T02:59:00Z</cp:lastPrinted>
  <dcterms:modified xsi:type="dcterms:W3CDTF">2024-11-19T02:10:37Z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D018CD30B64F4ABFAD12262F2DB84B67</vt:lpwstr>
  </property>
</Properties>
</file>